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Príloha č. 2 k vyhláške č. 252/2010 Z. z.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Tabuľka 1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Vyhlasovanie a odvolávanie stupňov povodňovej aktivity 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248"/>
        <w:gridCol w:w="1299"/>
        <w:gridCol w:w="858"/>
        <w:gridCol w:w="1336"/>
        <w:gridCol w:w="582"/>
        <w:gridCol w:w="644"/>
        <w:gridCol w:w="614"/>
        <w:gridCol w:w="578"/>
        <w:gridCol w:w="654"/>
      </w:tblGrid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Čiastkové povodie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Vodný tok, vodná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stavba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Povodňový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úsek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Okres/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>kraj</w:t>
            </w:r>
            <w:r w:rsidRPr="000A5634">
              <w:rPr>
                <w:rFonts w:ascii="Arial" w:eastAsia="Times New Roman" w:hAnsi="Arial" w:cs="Arial"/>
                <w:vertAlign w:val="superscript"/>
                <w:lang w:eastAsia="sk-SK"/>
              </w:rPr>
              <w:t>++</w:t>
            </w:r>
            <w:r w:rsidRPr="000A5634">
              <w:rPr>
                <w:rFonts w:ascii="Arial" w:eastAsia="Times New Roman" w:hAnsi="Arial" w:cs="Arial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 xml:space="preserve">Stupeň 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>povodňovej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aktivity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Vyhlásený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Odvolaný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hod.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kým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hod.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Údaje sa do tabuľky zapisujú chronologicky podľa času vyhlásenia stupňa povodňovej aktivity; keď sa zmení vyhlásený stupeň povodňovej aktivity, údaj sa zapíše do nasledujúceho riadka pod prvé vyhlásenie stupňa povodňovej aktivity alebo do riadka pod záznamom o predchádzajúcej zmene vyhlásenia stupňa povodňovej aktivity.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>) Na označenie okresu a kraja sa používa prvá dvojica písmen evidenčného čísla vozidla označujúca okres, v ktorom je vozidlo evidované.</w:t>
      </w:r>
      <w:hyperlink r:id="rId5" w:anchor="poznamky.poznamka-3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vertAlign w:val="superscript"/>
            <w:lang w:eastAsia="sk-SK"/>
          </w:rPr>
          <w:t>3</w:t>
        </w:r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)</w:t>
        </w:r>
      </w:hyperlink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Tabuľka 2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Vyhlasovanie a odvolávanie mimoriadnej situácie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1334"/>
        <w:gridCol w:w="1480"/>
        <w:gridCol w:w="1420"/>
        <w:gridCol w:w="1334"/>
        <w:gridCol w:w="1495"/>
      </w:tblGrid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Územie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Mimoriadna situácia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vyhlásená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odvolaná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hod.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kým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dňa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hod.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Tabuľka sa zaraďuje</w:t>
      </w:r>
      <w:r w:rsidRPr="000A5634">
        <w:rPr>
          <w:rFonts w:ascii="Arial" w:eastAsia="Times New Roman" w:hAnsi="Arial" w:cs="Arial"/>
          <w:color w:val="494949"/>
          <w:lang w:eastAsia="sk-SK"/>
        </w:rPr>
        <w:br/>
        <w:t>a) do priebežnej správy od vyhlásenia mimoriadnej situácie do času odvolania III. stupňa povodňovej aktivity,</w:t>
      </w:r>
      <w:r w:rsidRPr="000A5634">
        <w:rPr>
          <w:rFonts w:ascii="Arial" w:eastAsia="Times New Roman" w:hAnsi="Arial" w:cs="Arial"/>
          <w:color w:val="494949"/>
          <w:lang w:eastAsia="sk-SK"/>
        </w:rPr>
        <w:br/>
        <w:t xml:space="preserve">b) do súhrnnej správy vtedy, keď bola vyhlásená mimoriadna situácia.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lastRenderedPageBreak/>
        <w:t>Tabuľka 3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Prehľad pracovných síl počas povodne na území ................................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počas 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  <w:gridCol w:w="1428"/>
      </w:tblGrid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Pracovné sily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Počet osôb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Fyzické osoby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Zamestnanci orgánov ochrany pred povodňami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Členovia povodňových komisií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Členovia krízových štábov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Príslušníci Hasičského a záchranného zboru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Príslušníci ostatných hasičských jednotiek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Príslušníci Policajného zboru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Príslušníci ostatných zložiek integrovaného záchranného systému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Príslušníci ozbrojených síl Slovenskej republiky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Zamestnanci iných subjektov vykonávajúcich povodňové záchranné práce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Iné pracovné sily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Spolu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Názov obce, obvodu alebo kraja.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a) V priebežnej správe sa uvádza dátum a čas podľa </w:t>
      </w:r>
      <w:hyperlink r:id="rId6" w:anchor="paragraf-1.odsek-7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 ods. 7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b) V súhrnnej správe sa uvádza dátum vyhlásenia II. stupňa povodňovej aktivity alebo III. stupňa povodňovej aktivity a dátum odvolania II. stupňa povodňovej aktivity.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Tabuľka 4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Stroje a zariadenia použité pri vykonávaní opatrení na ochranu pred povodňou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...........................................................................................................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počas 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4"/>
        <w:gridCol w:w="1428"/>
      </w:tblGrid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Druhy strojov a zariadení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Počet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Názov a sídlo predkladateľa priebežnej správy alebo súhrnnej správy.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1. V priebežnej správe sa uvádza dátum vydania správy a čas podľa </w:t>
      </w:r>
      <w:hyperlink r:id="rId7" w:anchor="paragraf-1.odsek-7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 ods. 7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2. V súhrnnej správe sa uvádza dátum vyhlásenia II. stupňa povodňovej aktivity alebo III. stupňa povodňovej aktivity a dátum odvolania II. stupňa povodňovej aktivity.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lastRenderedPageBreak/>
        <w:t>Tabuľka 5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Materiál použitý pri vykonávaní opatrení na ochranu pred povodňou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...........................................................................................................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počas 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2788"/>
        <w:gridCol w:w="1424"/>
      </w:tblGrid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Druh materiálu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Merná jednotka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Množstvo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Názov a sídlo predkladateľa priebežnej správy alebo súhrnnej správy.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1. V priebežnej správe sa uvádza dátum vydania správy a čas podľa </w:t>
      </w:r>
      <w:hyperlink r:id="rId8" w:anchor="paragraf-1.odsek-7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 ods. 7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2. V súhrnnej správe sa uvádza dátum vyhlásenia II. stupňa povodňovej aktivity alebo III. stupňa povodňovej aktivity a dátum odvolania II. stupňa povodňovej aktivity.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Tabuľka 6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Povodňou postihnuté obce na území ...................................................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počas 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1168"/>
        <w:gridCol w:w="2171"/>
        <w:gridCol w:w="1441"/>
        <w:gridCol w:w="833"/>
      </w:tblGrid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Názov obce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Rozsah zaplaveného územia [ha]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Intravilán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Poľnohospodárska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pôda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Lesná pôda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Spolu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Názov obvodu alebo kraja.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a) V priebežnej správe sa uvádza dátum a čas podľa </w:t>
      </w:r>
      <w:hyperlink r:id="rId9" w:anchor="paragraf-1.odsek-7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 ods. 7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b) V súhrnnej správe sa uvádza dátum vyhlásenia II. stupňa povodňovej aktivity alebo III. stupňa povodňovej aktivity a dátum odvolania II. stupňa povodňovej aktivity. </w:t>
      </w: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bookmarkStart w:id="0" w:name="_GoBack"/>
      <w:bookmarkEnd w:id="0"/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lastRenderedPageBreak/>
        <w:t>Tabuľka 7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Následky spôsobené povodňou na území ............................................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>) počas .......................</w:t>
      </w: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2321"/>
        <w:gridCol w:w="2321"/>
        <w:gridCol w:w="961"/>
      </w:tblGrid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Následky spôsobené povodňou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Počet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alebo dĺžka </w:t>
            </w: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Postihnutí obyvatelia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celkom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 toho</w:t>
            </w:r>
          </w:p>
        </w:tc>
        <w:tc>
          <w:tcPr>
            <w:tcW w:w="1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osoby bez prístrešia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celkom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 toho deti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evakuované osoby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zachránené osoby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zranené osoby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usmrtené osoby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nezvestné osoby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Zaplavené bytové budovy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celkom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 toho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bytové domy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rodinné domy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ostatné budovy na bývanie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Zaplavené nebytové budovy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celkom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 toho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priemyselné budovy a sklady, nádrže a silá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poľnohospodárske budovy a sklady, stajne</w:t>
            </w:r>
            <w:r w:rsidRPr="000A5634">
              <w:rPr>
                <w:rFonts w:ascii="Arial" w:eastAsia="Times New Roman" w:hAnsi="Arial" w:cs="Arial"/>
                <w:lang w:eastAsia="sk-SK"/>
              </w:rPr>
              <w:br/>
              <w:t xml:space="preserve">a maštale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kultúrne pamiatky, ktoré nie sú bytovými budovami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nemocnice, zdravotnícke a sociálne zariadenia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ostatné nebytové budovy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Poškodené inžinierske stavby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celkom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jc w:val="right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 toho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železničné, lanové a iné dráhy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diaľnice a rýchlostné komunikácie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cesty I. triedy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cesty II. triedy a cesty III. triedy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miestne a účelové komunikácie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lesná dopravná sieť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chodníky [m]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mosty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diaľkové ropovody a plynovody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miestne rozvody plynu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diaľkové a miestne rozvody vody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diaľkové a miestne rozvody pary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vodné zdroje a úpravne vody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kanalizácie a čistiarne odpadových vôd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diaľkové a miestne rozvody elektriny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lesné sklady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ostatné inžinierske stavby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Evakuované hospodárske zvieratá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Evakuovaná hydina a drobné zvieratá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Uhynuté hospodárske zvieratá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Uhynutá hydina a drobné zvieratá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Hmotnosť evakuovaného materiálu (t)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Zaplavené dopravné prostriedky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0A5634" w:rsidRPr="000A5634" w:rsidTr="000A5634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  <w:r w:rsidRPr="000A5634">
              <w:rPr>
                <w:rFonts w:ascii="Arial" w:eastAsia="Times New Roman" w:hAnsi="Arial" w:cs="Arial"/>
                <w:lang w:eastAsia="sk-SK"/>
              </w:rPr>
              <w:t>Odplavené drevo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5634" w:rsidRPr="000A5634" w:rsidRDefault="000A5634" w:rsidP="000A5634">
            <w:pPr>
              <w:spacing w:after="0"/>
              <w:ind w:left="0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Názov obvodu alebo kraja.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vertAlign w:val="superscript"/>
          <w:lang w:eastAsia="sk-SK"/>
        </w:rPr>
        <w:t>++</w:t>
      </w:r>
      <w:r w:rsidRPr="000A5634">
        <w:rPr>
          <w:rFonts w:ascii="Arial" w:eastAsia="Times New Roman" w:hAnsi="Arial" w:cs="Arial"/>
          <w:color w:val="494949"/>
          <w:lang w:eastAsia="sk-SK"/>
        </w:rPr>
        <w:t xml:space="preserve">) a) V priebežnej správe sa uvádza dátum a čas podľa </w:t>
      </w:r>
      <w:hyperlink r:id="rId10" w:anchor="paragraf-1.odsek-7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 ods. 7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. </w:t>
      </w:r>
    </w:p>
    <w:p w:rsidR="000A5634" w:rsidRPr="000A5634" w:rsidRDefault="000A5634" w:rsidP="000A5634">
      <w:pPr>
        <w:shd w:val="clear" w:color="auto" w:fill="FFFFFF"/>
        <w:spacing w:after="10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 xml:space="preserve">b) V súhrnnej správe sa uvádza dátum vyhlásenia II. stupňa povodňovej aktivity alebo III. stupňa povodňovej aktivity a dátum odvolania II. stupňa povodňovej aktivity.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1)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hyperlink r:id="rId11" w:anchor="paragraf-7.odsek-3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7 ods. 3 vyhlášky Ministerstva vnútra Slovenskej republiky č. 388/2006 Z. z.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 o podrobnostiach na zabezpečovanie technických a prevádzkových podmienok informačného systému civilnej ochrany v znení zákona č. 442/2007 Z. z.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2)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hyperlink r:id="rId12" w:anchor="paragraf-11.odsek-4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11 ods. 4 a 5 zákona Národnej rady Slovenskej republiky č. 364/2004 Z. z.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 o vodách a o zmene zákona Slovenskej národnej rady č. 372/1990 Zb. o priestupkoch v znení neskorších predpisov (vodný zákon) v znení zákona č. 384/2009 Z. z. </w:t>
      </w:r>
    </w:p>
    <w:p w:rsidR="000A5634" w:rsidRPr="000A5634" w:rsidRDefault="000A5634" w:rsidP="000A5634">
      <w:pPr>
        <w:shd w:val="clear" w:color="auto" w:fill="FFFFFF"/>
        <w:spacing w:after="0"/>
        <w:ind w:left="0"/>
        <w:rPr>
          <w:rFonts w:ascii="Arial" w:eastAsia="Times New Roman" w:hAnsi="Arial" w:cs="Arial"/>
          <w:color w:val="494949"/>
          <w:lang w:eastAsia="sk-SK"/>
        </w:rPr>
      </w:pPr>
      <w:r w:rsidRPr="000A5634">
        <w:rPr>
          <w:rFonts w:ascii="Arial" w:eastAsia="Times New Roman" w:hAnsi="Arial" w:cs="Arial"/>
          <w:color w:val="494949"/>
          <w:lang w:eastAsia="sk-SK"/>
        </w:rPr>
        <w:t>3)</w:t>
      </w:r>
    </w:p>
    <w:p w:rsidR="000A5634" w:rsidRPr="000A5634" w:rsidRDefault="000A5634" w:rsidP="000A5634">
      <w:pPr>
        <w:shd w:val="clear" w:color="auto" w:fill="FFFFFF"/>
        <w:ind w:left="0"/>
        <w:rPr>
          <w:rFonts w:ascii="Arial" w:eastAsia="Times New Roman" w:hAnsi="Arial" w:cs="Arial"/>
          <w:color w:val="494949"/>
          <w:lang w:eastAsia="sk-SK"/>
        </w:rPr>
      </w:pPr>
      <w:hyperlink r:id="rId13" w:anchor="paragraf-124.odsek-1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124 ods. 1 zákona č. 8/2009 Z. z.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 o cestnej premávke a o zmene a doplnení niektorých zákonov a </w:t>
      </w:r>
      <w:hyperlink r:id="rId14" w:anchor="paragraf-36.odsek-2" w:history="1">
        <w:r w:rsidRPr="000A5634">
          <w:rPr>
            <w:rFonts w:ascii="Arial" w:eastAsia="Times New Roman" w:hAnsi="Arial" w:cs="Arial"/>
            <w:i/>
            <w:iCs/>
            <w:color w:val="5B677D"/>
            <w:u w:val="single"/>
            <w:lang w:eastAsia="sk-SK"/>
          </w:rPr>
          <w:t>§ 36 ods. 2 vyhlášky Ministerstva vnútra Slovenskej republiky č. 9/2009 Z. z.</w:t>
        </w:r>
      </w:hyperlink>
      <w:r w:rsidRPr="000A5634">
        <w:rPr>
          <w:rFonts w:ascii="Arial" w:eastAsia="Times New Roman" w:hAnsi="Arial" w:cs="Arial"/>
          <w:color w:val="494949"/>
          <w:lang w:eastAsia="sk-SK"/>
        </w:rPr>
        <w:t xml:space="preserve">, ktorou sa vykonáva zákon o cestnej premávke a o zmene a doplnení niektorých zákonov. </w:t>
      </w:r>
    </w:p>
    <w:p w:rsidR="003D5940" w:rsidRDefault="003D5940"/>
    <w:sectPr w:rsidR="003D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99"/>
    <w:rsid w:val="000A5634"/>
    <w:rsid w:val="002F3699"/>
    <w:rsid w:val="003D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5634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5634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7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5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931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9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1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1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24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5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7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03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9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1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2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98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5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0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7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4560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96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8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1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static/pravne-predpisy/SK/ZZ/2010/252/20100615.html" TargetMode="External"/><Relationship Id="rId13" Type="http://schemas.openxmlformats.org/officeDocument/2006/relationships/hyperlink" Target="https://www.slov-lex.sk/static/pravne-predpisy/SK/ZZ/2009/8/201006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static/pravne-predpisy/SK/ZZ/2010/252/20100615.html" TargetMode="External"/><Relationship Id="rId12" Type="http://schemas.openxmlformats.org/officeDocument/2006/relationships/hyperlink" Target="https://www.slov-lex.sk/static/pravne-predpisy/SK/ZZ/2004/364/20100601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lov-lex.sk/static/pravne-predpisy/SK/ZZ/2010/252/20100615.html" TargetMode="External"/><Relationship Id="rId11" Type="http://schemas.openxmlformats.org/officeDocument/2006/relationships/hyperlink" Target="https://www.slov-lex.sk/static/pravne-predpisy/SK/ZZ/2006/388/20071001.html" TargetMode="External"/><Relationship Id="rId5" Type="http://schemas.openxmlformats.org/officeDocument/2006/relationships/hyperlink" Target="https://www.slov-lex.sk/static/pravne-predpisy/SK/ZZ/2010/252/2010061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static/pravne-predpisy/SK/ZZ/2010/252/201006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static/pravne-predpisy/SK/ZZ/2010/252/20100615.html" TargetMode="External"/><Relationship Id="rId14" Type="http://schemas.openxmlformats.org/officeDocument/2006/relationships/hyperlink" Target="https://www.slov-lex.sk/static/pravne-predpisy/SK/ZZ/2009/9/20100415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agg_l</dc:creator>
  <cp:lastModifiedBy>agg_l</cp:lastModifiedBy>
  <cp:revision>2</cp:revision>
  <dcterms:created xsi:type="dcterms:W3CDTF">2015-06-09T07:35:00Z</dcterms:created>
  <dcterms:modified xsi:type="dcterms:W3CDTF">2015-06-09T07:35:00Z</dcterms:modified>
</cp:coreProperties>
</file>