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</w:pPr>
      <w:bookmarkStart w:id="0" w:name="_GoBack"/>
      <w:bookmarkEnd w:id="0"/>
      <w:r w:rsidRPr="00064A1A"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  <w:t xml:space="preserve">Vyhláška 328/2012 </w:t>
      </w:r>
      <w:proofErr w:type="spellStart"/>
      <w:r w:rsidRPr="00064A1A"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  <w:t>Z.z</w:t>
      </w:r>
      <w:proofErr w:type="spellEnd"/>
      <w:r w:rsidRPr="00064A1A"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  <w:t>.</w:t>
      </w:r>
    </w:p>
    <w:p w:rsidR="00064A1A" w:rsidRP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(ktorou sa ustanovujú podrobnosti o evakuácii)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Autor: Ministerstvo vnútra SR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Platnosť od: 26.10.2012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Účinnosť od: 1.11.2012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Uverejnené v Zbierke zákonov č. 82/2012 strana 2238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 xml:space="preserve">NA ZÁKLADE: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hyperlink r:id="rId5" w:history="1"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 xml:space="preserve">42/1994 </w:t>
        </w:r>
        <w:proofErr w:type="spellStart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Z.z</w:t>
        </w:r>
        <w:proofErr w:type="spellEnd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.</w:t>
        </w:r>
      </w:hyperlink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</w:t>
      </w:r>
    </w:p>
    <w:p w:rsidR="00064A1A" w:rsidRPr="00064A1A" w:rsidRDefault="00064A1A" w:rsidP="00064A1A">
      <w:pPr>
        <w:spacing w:after="0" w:line="240" w:lineRule="auto"/>
        <w:ind w:left="720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15"/>
          <w:szCs w:val="15"/>
          <w:lang w:eastAsia="sk-SK"/>
        </w:rPr>
        <w:t>§ 36 ods. 3 písm. c);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 xml:space="preserve">RUŠÍ PREDPIS: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hyperlink r:id="rId6" w:history="1"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 xml:space="preserve">75/1995 </w:t>
        </w:r>
        <w:proofErr w:type="spellStart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Z.z</w:t>
        </w:r>
        <w:proofErr w:type="spellEnd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.</w:t>
        </w:r>
      </w:hyperlink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hyperlink r:id="rId7" w:history="1"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 xml:space="preserve">269/1998 </w:t>
        </w:r>
        <w:proofErr w:type="spellStart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Z.z</w:t>
        </w:r>
        <w:proofErr w:type="spellEnd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.</w:t>
        </w:r>
      </w:hyperlink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hyperlink r:id="rId8" w:history="1"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 xml:space="preserve">194/2002 </w:t>
        </w:r>
        <w:proofErr w:type="spellStart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Z.z</w:t>
        </w:r>
        <w:proofErr w:type="spellEnd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.</w:t>
        </w:r>
      </w:hyperlink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hyperlink r:id="rId9" w:history="1"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 xml:space="preserve">598/2004 </w:t>
        </w:r>
        <w:proofErr w:type="spellStart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Z.z</w:t>
        </w:r>
        <w:proofErr w:type="spellEnd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.</w:t>
        </w:r>
      </w:hyperlink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hyperlink r:id="rId10" w:history="1"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 xml:space="preserve">439/2007 </w:t>
        </w:r>
        <w:proofErr w:type="spellStart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Z.z</w:t>
        </w:r>
        <w:proofErr w:type="spellEnd"/>
        <w:r w:rsidRPr="00064A1A">
          <w:rPr>
            <w:rFonts w:ascii="ms sans serif" w:eastAsia="Times New Roman" w:hAnsi="ms sans serif" w:cs="Times New Roman"/>
            <w:color w:val="000060"/>
            <w:sz w:val="20"/>
            <w:szCs w:val="20"/>
            <w:u w:val="single"/>
            <w:lang w:eastAsia="sk-SK"/>
          </w:rPr>
          <w:t>.</w:t>
        </w:r>
      </w:hyperlink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 xml:space="preserve">OBLASŤ: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>Správne právo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  <w:t xml:space="preserve">328/2012 </w:t>
      </w:r>
      <w:proofErr w:type="spellStart"/>
      <w:r w:rsidRPr="00064A1A"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  <w:t>Z.z</w:t>
      </w:r>
      <w:proofErr w:type="spellEnd"/>
      <w:r w:rsidRPr="00064A1A"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  <w:t>.</w:t>
      </w:r>
    </w:p>
    <w:p w:rsidR="00064A1A" w:rsidRPr="00064A1A" w:rsidRDefault="00064A1A" w:rsidP="00064A1A">
      <w:pPr>
        <w:spacing w:beforeAutospacing="1" w:after="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</w:pP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  <w:t>VYHLÁŠKA</w:t>
      </w:r>
    </w:p>
    <w:p w:rsidR="00064A1A" w:rsidRPr="00064A1A" w:rsidRDefault="00064A1A" w:rsidP="00064A1A">
      <w:pPr>
        <w:spacing w:beforeAutospacing="1" w:after="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</w:pP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804000"/>
          <w:sz w:val="28"/>
          <w:szCs w:val="28"/>
          <w:lang w:eastAsia="sk-SK"/>
        </w:rPr>
        <w:t>Ministerstva vnútra Slovenskej republiky</w:t>
      </w: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z 15. októbra 2012, </w:t>
      </w:r>
    </w:p>
    <w:p w:rsidR="00064A1A" w:rsidRPr="00064A1A" w:rsidRDefault="00064A1A" w:rsidP="00064A1A">
      <w:pPr>
        <w:spacing w:after="240" w:line="240" w:lineRule="auto"/>
        <w:jc w:val="center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60"/>
          <w:sz w:val="24"/>
          <w:szCs w:val="24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007060"/>
          <w:sz w:val="24"/>
          <w:szCs w:val="24"/>
          <w:lang w:eastAsia="sk-SK"/>
        </w:rPr>
        <w:t>ktorou sa ustanovujú podrobnosti o evakuácii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Ministerstvo vnútra Slovenskej republiky podľa § 36 ods. 3 písm. c) zákona Národnej rady Slovenskej republiky č. 42/1994 Z. z. o civilnej ochrane obyvateľstva v znení neskorších predpisov (ďalej len "zákon") ustanovuje: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1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Úvodné ustanovenie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Táto vyhláška upravuje podrobnosti o plánovaní a zabezpečovaní evakuácie.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2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Vyhlásenie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br/>
        <w:t>(1) Evakuácia sa vyhlasuje prostredníctvom hromadných informačných prostriedkov a odvolá sa, ak pominul dôvod, pre ktorý bola vyhlásená.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Vzor vyhlásenia evakuácie je uvedený v prílohe č. 1.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3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Plánovanie a zabezpečovanie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Evakuácia sa plánuje a zabezpečuje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z okolia jadrového zariadenia, 1) a to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z pásma A2) pre všetko obyvateľstvo,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z pásma B3) pre bezprostredne ohrozenú časť obyvateľstva,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z bližšie ohrozeného územia4) pre ohrozenú časť obyvateľstva,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b) z územia ohrozeného kontamináciou pri havárii alebo inej mimoriadnej udalosti spojenej s únikom chemickej nebezpečnej látky alebo biologickej nebezpečnej látky,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c) z územia ohrozeného prielomovou vlnou pri havárii na vodnej stavbe,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d) z územia, na ktorom pôsobia následky živelnej pohromy, katastrofy alebo teroristického útoku,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e) z územia určeného na zabezpečovanie úloh obrany štátu v čase vojny a vojnového stavu.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Evakuácia sa člení na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a) krátkodobú evakuáciu s možným návratom evakuantov do 72 hodín,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dlhodobú evakuáciu s možným návratom evakuantov po 72 hodinách.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Časový rozsah evakuácie podľa odseku 2 sa určí pri vyhlásení evakuácie, ak je to možné vzhľadom na rozsah a následky mimoriadnej udalosti.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(4) Samovoľná evakuácia sa rieši bezodkladne usmerňovaním neorganizovaného opúšťania ohrozeného územia, spresňovaním evakuačných trás a zamedzením prístupu obyvateľstva na ohrozené územie.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4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Evakuačné opatrenia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Evakuačné opatrenia pri dlhodobej evakuácii sú: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určenie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vyrozumenia a pohotovosti evakuačnej komisie a evakuačného zariadenia,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vyhlásenia evakuácie,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počtu evakuantov,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síl a prostriedkov na zabezpečenie evakuácie,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materiálneho a technického zabezpečenia evakuácie,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6. spôsobu a organizácie presunu evakuantov,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7. evakuačných trás,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8. prípravy obyvateľstva, evakuačných komisií a jednotiek civilnej ochrany na činnosť evakuačného zariadenia,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poriadkové a bezpečnostné, dopravné, zdravotnícke, zásobovacie a veterinárne zabezpečenie evakuácie.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Pri krátkodobej evakuácii sa rozsah evakuačných opatrení určuje podľa rozsahu a následkov mimoriadnej udalosti.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Okrem evakuačných opatrení možno zabezpečiť ochranu evakuantov ukrytím a použitím prostriedkov individuálnej ochrany.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5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Evakuácia obyvateľstva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Obyvateľstvo sa na účel plánovania a zabezpečovania evakuácie člení na tieto skupiny: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a) deti materskej školy, žiaci základnej školy, žiaci strednej školy, ako aj deti a žiaci školského zariadenia,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t xml:space="preserve">b) matky a iné oprávnené osoby v domácnosti s deťmi,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c) osoby umiestnené v zdravotníckom zariadení, zariadení sociálnych služieb a v zariadení sociálnoprávnej ochrany detí a sociálnej kurately,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d) osoby so zdravotným postihnutím v domácnosti s rodinným príslušníkom alebo s osobou, ktorá osobe so zdravotným postihnutím poskytuje pomoc,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e) ostatné obyvateľstvo.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Pri evakuácii možno časovo uprednostniť obyvateľstvo podľa odseku 1 písm. a) až d) a tehotné ženy.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Evakuácia obyvateľstva sa vykonáva osobným dopravným prostriedkom; ak to nie je možné alebo účelné, peši.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(4) Hmotnosť evakuačnej batožiny (ďalej len "batožina") a jej odporúčaný obsah je uvedený v prílohe č. 2.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(5) Postup pri evakuácii podľa skupín obyvateľstva je uvedený v prílohe č. 3.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6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Evakuačné zariadenia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Evakuačné zariadenia sú evakuačné zberné miesto, evakuačné stredisko, stanica nástupu, stanica výstupu, regulačné stanovište, kontrolné stanovište a miesto núdzového ubytovania evakuantov (ďalej len "miesto ubytovania").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Činnosť evakuačných zariadení a čas ich uvedenia do pohotovosti sú uvedené v prílohe č. 4.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7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Evakuácia zvierat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Evakuácia zvierat sa plánuje a vykonáva najmä na záchranu plemenných zvierat a iných cenných zvierat (ďalej len "zviera").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Evakuácia zvierat sa vykonáva presunom zvierat z miesta chovu do miesta určenia okrem spoločenských zvierat, ktoré sa evakuujú spolu s obyvateľstvom.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Evakuácia zvierat a vyvezenie krmív sa plánuje a vykonáva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a) dopravným prostriedkom, ak je to možné, špeciálne upraveným na prepravu zvierat,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hnaním zvierat do vzdialenosti 10 km z miesta chovu po posúdení ich spôsobilosti veterinárnym lekárom.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(4) Pri evakuácii zvierat sa postupuje spôsobom, ktorý je primeraný podmienkam, za ktorých sa vykonáva evakuácia.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(5) Dokumentácia evakuácie zvierat je uvedená v prílohe č. 5.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8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Evakuácia vecí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Evakuácia vecí sa plánuje a vykonáva na ochranu hnuteľných národných kultúrnych pamiatok, 5) zbierkových predmetov, 6) historických knižničných dokumentov, 7) historických knižničných fondov, 8) archívnych dokumentov, 9) hnuteľných technických zariadení a ďalších materiálnych hodnôt.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Evakuácia vecí sa vykonáva po evakuácii obyvateľstva, ak to dovoľujú rozsah a následky mimoriadnej udalosti. Ak nie je možné alebo účelné vykonať evakuáciu vecí, uložia sa v neohrozenom priestore objektu ich trvalého uloženia.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Evakuácia vecí sa vykonáva z miesta ich uloženia do miesta určenia. Ak je to možné, na evakuáciu vecí sa použije špeciálne upravený dopravný prostriedok.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br/>
        <w:t>(4) Dokumentácia evakuácie vecí sa vedie podľa osobitných predpisov.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9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Evakuačná komisia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Prednosta obvodného úradu, primátor mesta a starosta obce môžu zriadiť evakuačnú komisiu ako svoj odborný poradný orgán.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Štatút evakuačnej komisie obsahuje najmä zloženie evakuačnej komisie, jej úlohy a čas uvedenia do pohotovosti.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Štatút evakuačnej komisie schvaľuje osoba podľa odseku 1.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10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Poriadkové a bezpečnostné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zabezpečenie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Poriadkové a bezpečnostné zabezpečenie evakuácie zahŕňa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a) uzatvorenie ohrozeného územia, z ktorého sa vykonáva evakuácia,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b) usmerňovanie dopravy na evakuačnej trase,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c) zabezpečovanie poriadku v ohrozenom území a v evakuačnom zariadení,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d) kontrolu vstupu a vjazdu na ohrozené územie.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Úlohy podľa odseku 1 plní Policajný zbor.10)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Dokumentácia poriadkového a bezpečnostného zabezpečenia evakuácie je uvedená v prílohe č. 6.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11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Dopravné zabezpečenie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Dopravné zabezpečenie evakuácie zahŕňa plánovanie, prípravu a prepravu evakuantov, zvierat a vecí mimo ohrozeného územia.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Evakuácia sa vykonáva cestnou dopravou a železničnou dopravou. Evakuáciu leteckou dopravou a vodnou dopravou možno vykonať podľa skutočnej situácie vzhľadom na druh mimoriadnej udalosti a dostupnosť síl a prostriedkov.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Na vykonanie evakuácie možno dočasne obmedziť alebo prerušiť ostatnú prepravu okrem prepravy počas krízovej situácie.11)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(4) Pristavenie cestných dopravných prostriedkov sa organizuje podľa harmonogramu evakuačnej prepravy a v závislosti od počtu evakuantov, batožiny, druhu evakuovaných zvierat a ich počtu, množstva prepravovaných vecí, predpokladaného počtu dopravných prostriedkov a dĺžky evakuačných trás.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(5) Batožina okrem príručnej batožiny musí byť pri preprave označená štítkom s menom a priezviskom, adresou pobytu, prípadne telefonickým kontaktom, a ak je to možné, uzamknutá.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(6) Nakládku a vykládku zvierat a vecí zabezpečuje objednávateľ prepravy.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(7) Ak dopravca nemôže z objektívneho dôvodu vykonať prepravu, oznámi bezodkladne túto skutočnosť objednávateľovi prepravy.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(8) Dokumentácia dopravného zabezpečenia evakuácie je uvedená v prílohe č. 7.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lastRenderedPageBreak/>
        <w:t>§ 12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Zdravotnícke zabezpečenie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(1) Zdravotnícke zabezpečenie evakuácie zahŕňa poskytovanie neodkladnej zdravotnej starostlivosti12) evakuantom v ohrozenom území a na evakuačnej trase, ako aj poskytovanie zdravotnej starostlivosti, 13) neodkladnej zdravotnej starostlivosti12) a vykonávanie </w:t>
      </w:r>
      <w:proofErr w:type="spellStart"/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>protiepidemických</w:t>
      </w:r>
      <w:proofErr w:type="spellEnd"/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a hygienických opatrení v mieste ubytovania.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Dokumentácia zdravotníckeho zabezpečenia evakuácie je uvedená v prílohe č. 8.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13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Zásobovacie zabezpečenie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Zásobovacie zabezpečenie evakuácie zahŕňa núdzové zásobovanie evakuantov najmä základnými potravinami, pitnou vodou a ošatením.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Núdzové zásobovanie sa poskytuje na evakuačnej trase a v evakuačnom zariadení.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Evakuantom možno zabezpečiť vybrané položky pohotovostných zásob.14)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(4) Dokumentácia zásobovacieho zabezpečenia evakuácie je uvedená v prílohe č. 9.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14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Veterinárne zabezpečenie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Veterinárne zabezpečenie evakuácie zahŕňa opatrenia na určenie spôsobilosti zvieraťa na evakuáciu a zabránenie vzniku choroby zvieraťa.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Vyšetrenie zdravotného stavu zvieraťa sa vykonáva pred evakuáciou.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Zviera sa nepovažuje za spôsobilé na evakuáciu, ak je zranené, prejavuje fyziologickú slabosť alebo patologický proces, najmä ak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a) nie je schopné samostatne sa pohybovať,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prejavuje príznaky choroby podliehajúcej povinnému hláseniu.15)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(4) Ak zviera nie je spôsobilé na evakuáciu, určí sa ďalší spôsob nakladania so zvieraťom.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(5) Dokumentácia veterinárneho zabezpečenia evakuácie je uvedená v prílohe č. 10.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15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Plán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(1) Pri evakuácii sa postupuje podľa plánu evakuácie.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(2) Plán evakuácie sa aktualizuje k 31. decembru kalendárneho roka alebo bezodkladne, ak ide o podstatnú zmenu, ktorá sa týka najmä predpokladaného počtu evakuantov, evakuačnej trasy a zloženia evakuačnej komisie; o aktualizácii sa vykoná záznam.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(3) Podľa plánu evakuácie sa postupuje aj počas krízovej situácie.11)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(4) Pre evakuačné zariadenie sa vypracúva výpis z plánu evakuácie.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(5) Obsah plánu evakuácie je uvedený v prílohe č. 11.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lastRenderedPageBreak/>
        <w:t>Záverečné ustanovenia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br/>
        <w:t>§ 16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Zrušuje sa vyhláška Ministerstva vnútra Slovenskej republiky č. 75/1995 Z. z. o zabezpečovaní evakuácie v znení vyhlášky č. 269/1998 Z. z., vyhlášky č. 194/2002 Z. z., vyhlášky č. 598/2004 Z. z. a vyhlášky č. 439/2007 Z. z.</w:t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  <w:t>§ 17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Táto vyhláška nadobúda účinnosť 1. novembra 2012.</w:t>
      </w: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proofErr w:type="spellStart"/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Robert</w:t>
      </w:r>
      <w:proofErr w:type="spellEnd"/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 xml:space="preserve"> </w:t>
      </w:r>
      <w:proofErr w:type="spellStart"/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Kaliňák</w:t>
      </w:r>
      <w:proofErr w:type="spellEnd"/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v. r.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</w:p>
    <w:p w:rsidR="00064A1A" w:rsidRP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pict>
          <v:rect id="_x0000_i1025" style="width:226.8pt;height:1.5pt" o:hrpct="500" o:hrstd="t" o:hr="t" fillcolor="#a0a0a0" stroked="f"/>
        </w:pict>
      </w:r>
    </w:p>
    <w:p w:rsidR="00064A1A" w:rsidRPr="00064A1A" w:rsidRDefault="00064A1A" w:rsidP="00064A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0"/>
          <w:sz w:val="20"/>
          <w:szCs w:val="20"/>
          <w:lang w:eastAsia="sk-SK"/>
        </w:rPr>
      </w:pP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1) § 2 písm. c) vyhlášky Úradu jadrového dozoru Slovenskej republiky č. 55/2006 Z. z. o podrobnostiach v havarijnom plánovaní pre prípad nehody alebo havárie.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2) Príloha č. 2 časť B písm. b) vyhlášky Ministerstva vnútra Slovenskej republiky č. 533/2006 Z. z. o podrobnostiach o ochrane obyvateľstva pred účinkami nebezpečných látok v znení vyhlášky Ministerstva vnútra Slovenskej republiky č. 160/2012 Z. z.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3) Príloha č. 2 časť B písm. c) vyhlášky Ministerstva vnútra Slovenskej republiky č. 533/2006 Z. z. v znení vyhlášky č. 160/2012 Z. z.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4) Príloha č. 2 časť B písm. d) vyhlášky Ministerstva vnútra Slovenskej republiky č. 533/2006 Z. z. v znení vyhlášky č. 160/2012 Z. z.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5) § 2 ods. 3 zákona č. 49/2002 Z. z. o ochrane pamiatkového fondu.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6) § 2 ods. 2 zákona č. 206/2009 Z. z. o múzeách a o galériách a o ochrane predmetov kultúrnej hodnoty a o zmene zákona Slovenskej národnej rady č. 372/1990 Zb. o priestupkoch v znení neskorších predpisov.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7) § 18 ods. 1 zákona č. 183/2000 Z. z. o knižniciach, o doplnení zákona Slovenskej národnej rady č. 27/1987 Zb. o štátnej pamiatkovej starostlivosti a o zmene a doplnení zákona č. 68/1997 Z. z. o Matici slovenskej.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8) § 18 ods. 1 zákona č. 183/2000 Z. z.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9) § 2 ods. 2 zákona č. 395/2002 Z. z. o archívoch a registratúrach a o doplnení niektorých zákonov v znení zákona č. 216/2007 Z. z.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10) § 2 ods. 1 písm. a), i), j), l) a q) zákona Národnej rady Slovenskej republiky č. 171/1993 Z. z. o Policajnom zbore v znení neskorších predpisov.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11) Ústavný zákon č. 227/2002 Z. z. o bezpečnosti štátu v čase vojny, vojnového stavu, výnimočného stavu a núdzového stavu v znení neskorších predpisov.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12) § 2 ods. 3 zákona č. 576/2004 Z. z. o zdravotnej starostlivosti, službách súvisiacich s poskytovaním zdravotnej starostlivosti a o zmene a doplnení niektorých zákonov v znení neskorších predpisov.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13) § 2 ods. 1 zákona č. 576/2004 Z. z.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14) § 7 a 7d zákona Národnej rady Slovenskej republiky č. 82/1994 Z. z. o štátnych hmotných rezervách v znení neskorších predpisov.</w:t>
      </w:r>
      <w:r w:rsidRPr="00064A1A">
        <w:rPr>
          <w:rFonts w:ascii="Tahoma" w:eastAsia="Times New Roman" w:hAnsi="Tahoma" w:cs="Tahoma"/>
          <w:color w:val="000060"/>
          <w:sz w:val="20"/>
          <w:szCs w:val="20"/>
          <w:lang w:eastAsia="sk-SK"/>
        </w:rPr>
        <w:br/>
        <w:t>15) § 2 ods. 1 písm. n) nariadenia vlády Slovenskej republiky č. 280/2003 Z. z. o zdravotných problémoch, ktoré ovplyvňujú výmenu s hovädzím dobytkom a ošípanými.</w:t>
      </w: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lastRenderedPageBreak/>
        <w:t>Príloha č. 1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begin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instrText xml:space="preserve"> HYPERLINK "http://jaspi.justice.gov.sk/jaspidd/vzory/012328Pr1.pdf" \t "_blank" </w:instrTex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separate"/>
      </w:r>
    </w:p>
    <w:p w:rsidR="00064A1A" w:rsidRPr="00064A1A" w:rsidRDefault="00064A1A" w:rsidP="00064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0"/>
          <w:sz w:val="24"/>
          <w:szCs w:val="24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 xml:space="preserve">kliknite </w:t>
      </w: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>p</w:t>
      </w: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>re zobrazenie</w:t>
      </w:r>
    </w:p>
    <w:p w:rsidR="00064A1A" w:rsidRPr="00064A1A" w:rsidRDefault="00064A1A" w:rsidP="00064A1A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4"/>
          <w:szCs w:val="24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br/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u w:val="single"/>
          <w:lang w:eastAsia="sk-SK"/>
        </w:rPr>
        <w:t>VZOR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u w:val="single"/>
          <w:lang w:eastAsia="sk-SK"/>
        </w:rPr>
        <w:br/>
        <w:t xml:space="preserve">Vyhlásenie evakuácie </w:t>
      </w: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end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2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Hmotnosť batožiny a jej odporúčaný obsah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Hmotnosť batožiny môže byť najviac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25 kg u dospelej osoby,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15 kg u dieťaťa,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3. 5 kg príručnej batožiny okrem batožiny podľa prvého a druhého bodu.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Odporúčaný obsah batožiny: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osobné doklady, peniaze a iné cennosti,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lieky a nevyhnutné zdravotnícke pomôcky,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základné potraviny a pitná voda na dva až tri dni,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predmety osobnej hygieny,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vrecková lampa,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6. prikrývka alebo spací vak,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7. náhradná osobná bielizeň, náhradný odev, náhradná obuv a nepremokavý plášť,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8. ďalšie nevyhnutné osobné veci.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3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Postup pri evakuácii podľa skupín obyvateľstva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Osoby podľa § 5 ods. 1 písm. a)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deti materskej školy sa odovzdávajú rodičovi alebo inej oprávnenej osobe,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žiaci základnej školy, žiaci strednej školy, ako aj deti a žiaci školského zariadenia sa posielajú domov,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deti a žiaci, u ktorých nemožno postupovať podľa prvého a druhého bodu, evakuujú sa prostredníctvom evakuačného strediska; materská škola, základná škola, stredná škola a školské zariadenie plnia funkciu evakuačného strediska,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4. pri nedostatku času, najmä pri krátkodobej evakuácii, deti a žiaci podľa prvého a druhého bodu sa evakuujú prostredníctvom evakuačného strediska.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Osoby podľa § 5 ods. 1 písm. c) sa evakuujú do obdobného zariadenia mimo ohrozeného územia; zdravotnícke zariadenie, zariadenie sociálnych služieb a zariadenie sociálnoprávnej ochrany detí a sociálnej kurately plnia funkciu evakuačného strediska.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c) Osoby podľa § 5 ods. 1 písm. b), d) a e) sa evakuujú prostredníctvom evakuačného strediska.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Poznámka: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Ak je to možné, imobilná osoba sa evakuuje dopravným prostriedkom, ktorý je upravený na tento účel.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4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Činnosť evakuačných zariadení a čas ich uvedenia do pohotovosti</w:t>
      </w: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ČASŤ A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</w:r>
      <w:proofErr w:type="spellStart"/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a</w:t>
      </w:r>
      <w:proofErr w:type="spellEnd"/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) Evakuačné zberné miesto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zhromažďuje evakuantov z evakuačných obvodov územne väčšej obce,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vedie evidenciu evakuantov,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riadi a usmerňuje presun evakuantov do evakuačného strediska,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organizuje činnosť evakuantov, zabezpečuje pokoj a poriadok,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poskytuje evakuantom informácie o evakuácii,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t>6. informuje evakuačné stredisko o svojej činnosti a o stave a priebehu evakuácie.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b) Evakuačné stredisko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vedie evidenciu evakuantov,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organizuje a riadi presun evakuantov do miesta ubytovania,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zabezpečuje v nevyhnutnom rozsahu výdaj základných potravín, pitnej vody a ošatenia evakuantom,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zabezpečuje maximálne využitie dopravných prostriedkov,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zabezpečuje poskytovanie neodkladnej zdravotnej starostlivosti a udržiavanie poriadku a bezpečnosti v evakuačnom stredisku,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6. informuje evakuačnú komisiu o svojej činnosti.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c) Stanica nástupu a stanica výstupu evakuantov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sústreďuje evakuantov pred začatím prepravy a po jej skončení, zabezpečuje pokoj a poriadok vo vyhradených priestoroch,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organizuje pristavovanie, odchody a maximálne využitie dopravných prostriedkov,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zabezpečuje plynulý a rýchly presun evakuantov do miesta ubytovania,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4. informuje evakuačnú komisiu o svojej činnosti.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d) Regulačné stanovište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organizuje a usmerňuje presun evakuantov zo stanice výstupu do miesta ubytovania,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zabezpečuje maximálne využitie dopravných prostriedkov,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zabezpečuje poskytovanie neodkladnej zdravotnej starostlivosti a udržiavanie pokoja a poriadku,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4. informuje evakuačnú komisiu o svojej činnosti.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e) Kontrolné stanovište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vykonáva kontrolu kontaminácie evakuantov, dopravných prostriedkov a iných vecí,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zaraďuje evakuantov do skupín na kontaminované a nekontaminované účinkom nebezpečnej látky,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triedi dopravné prostriedky a iné veci na kontaminované a nekontaminované účinkom nebezpečnej látky,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zabezpečuje a udržiava režim života, zabezpečuje plynulý a rýchly presun evakuantov po vykonaní dekontaminácie na pôvodnú evakuačnú trasu,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sústreďuje údaje o dopravnej situácii,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6. eviduje evakuantov, dopravné prostriedky a iné veci,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7. plní úlohy regulačného stanovišťa, ak nie je zriadené samostatne,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8. informuje evakuačnú komisiu o svojej činnosti.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f) Miesto ubytovania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zabezpečuje príjem a núdzové ubytovanie evakuantov,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vedie evidenciu evakuantov,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organizuje a zabezpečuje zapojenie evakuantov do zásobovacieho systému,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utvára podmienky na organizovanie jednotky civilnej ochrany z evakuantov,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5. informuje evakuačnú komisiu o svojej činnosti a o počtoch evakuantov.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ČASŤ B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Evakuačné zariadenie sa uvádza do pohotovosti od vyhlásenia dlhodobej evakuácie takto: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evakuačné zberné miesto do 3 hodín,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evakuačné stredisko do 3 hodín,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3. stanica nástupu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3.1. autobusová do 3 hodín,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3.2. ostatné do 5 hodín,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stanica výstupu do 4 hodín,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regulačné stanovište do 4 hodín,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6. kontrolné stanovište do 4 hodín,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7. miesto ubytovania do 4 hodín.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Pri krátkodobej evakuácii sa čas uvedenia do pohotovosti evakuačného zariadenia upravuje primerane podľa skutočnej situácie a jej predpokladaného vývoja.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</w:p>
    <w:p w:rsidR="00064A1A" w:rsidRPr="00064A1A" w:rsidRDefault="00064A1A" w:rsidP="00064A1A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4"/>
          <w:szCs w:val="24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5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begin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instrText xml:space="preserve"> HYPERLINK "http://jaspi.justice.gov.sk/jaspidd/vzory/012328Pr5.pdf" \t "_blank" </w:instrTex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separate"/>
      </w:r>
    </w:p>
    <w:p w:rsidR="00064A1A" w:rsidRPr="00064A1A" w:rsidRDefault="00064A1A" w:rsidP="00064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0"/>
          <w:sz w:val="24"/>
          <w:szCs w:val="24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>kliknite pre zobrazenie</w:t>
      </w:r>
    </w:p>
    <w:p w:rsidR="00064A1A" w:rsidRPr="00064A1A" w:rsidRDefault="00064A1A" w:rsidP="00064A1A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4"/>
          <w:szCs w:val="24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br/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u w:val="single"/>
          <w:lang w:eastAsia="sk-SK"/>
        </w:rPr>
        <w:t xml:space="preserve">Dokumentácia evakuácie zvierat </w:t>
      </w: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end"/>
      </w: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lastRenderedPageBreak/>
        <w:t>Príloha č. 6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Dokumentácia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poriadkového a bezpečnostného zabezpečenia evakuácie</w:t>
      </w: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ČASŤ 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Textová časť poriadkového a bezpečnostného zabezpečenia evakuácie obsahuje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a) zámer poriadkového a bezpečnostného zabezpečenia evakuácie,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b) prehľad o rozmiestnení síl a prostriedkov Policajného zboru, ktorými bude zabezpečovaná evakuácia,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c) úlohy príslušníka Policajného zboru povereného poriadkovým a bezpečnostným zabezpečením evakuácie,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d) úlohy poriadkovej a dopravnej hliadky Policajného zboru na ohrozenom území, na evakuačnej trase a v mieste ubytovania,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e) prehľad o evakuačných trasách a o umiestnení evakuačných zariadení,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f) materiálno-technické zabezpečenie príslušníka Policajného zboru vrátane špeciálnych prostriedkov individuálnej ochrany, ubytovania a stravovania,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g) zásady súčinnosti s ďalšími orgánmi, ktoré sa podieľajú na evakuácii,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h) záznam správ a hlásení o evakuácii.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 xml:space="preserve">ČASŤ B.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>V grafickej časti poriadkového a bezpečnostného zabezpečenia evakuácie sa vyznačuje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a) poloha zdroja ohrozenia s vyhodnotením ohrozeného územia,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b) umiestnenie evakuačných zariadení,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c) dislokácia krajského riaditeľstva Policajného zboru, okresného riaditeľstva Policajného zboru a obvodného oddelenia Policajného zboru,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d) evakuačná trasa, prípadne náhradná trasa,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e) rozmiestnenie síl a prostriedkov Policajného zboru na evakuačnej trase, prípadne na náhradnej trase.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7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Dokumentácia dopravného zabezpečenia evakuácie</w:t>
      </w:r>
    </w:p>
    <w:p w:rsidR="00064A1A" w:rsidRPr="00064A1A" w:rsidRDefault="00064A1A" w:rsidP="00064A1A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4"/>
          <w:szCs w:val="24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ČASŤ A.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Textová časť dokumentácie dopravného zabezpečenia evakuácie obsahuje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zámer dopravného zabezpečenia evakuácie, a to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realizáciu prepravy evakuantov, zvierat a vecí,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prehľad o evakuačných trasách a o umiestnení evakuačných zariadení,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prehľad o dopravcoch a dopravných prostriedkoch určených na evakuáciu,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b) zmluvu o budúcej zmluve s právnickou osobou alebo fyzickou osobou - podnikateľom, ktorá poskytuje dopravný prostriedok,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c) záznam správ a hlásení o priebehu evakuácie.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ČASŤ B.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Tabuľková časť dokumentácie dopravného zabezpečenia evakuácie: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begin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instrText xml:space="preserve"> HYPERLINK "http://jaspi.justice.gov.sk/jaspidd/vzory/012328Pr7tab.pdf" \t "_blank" </w:instrTex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separate"/>
      </w:r>
    </w:p>
    <w:p w:rsidR="00064A1A" w:rsidRPr="00064A1A" w:rsidRDefault="00064A1A" w:rsidP="00064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0"/>
          <w:sz w:val="24"/>
          <w:szCs w:val="24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 xml:space="preserve">tabuľky v </w:t>
      </w:r>
      <w:proofErr w:type="spellStart"/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>pdf</w:t>
      </w:r>
      <w:proofErr w:type="spellEnd"/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 xml:space="preserve"> k prílohe č. 7</w:t>
      </w:r>
    </w:p>
    <w:p w:rsidR="00064A1A" w:rsidRPr="00064A1A" w:rsidRDefault="00064A1A" w:rsidP="00064A1A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4"/>
          <w:szCs w:val="24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br/>
      </w: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end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8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begin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instrText xml:space="preserve"> HYPERLINK "http://jaspi.justice.gov.sk/jaspidd/vzory/012328Pr8.pdf" \t "_blank" </w:instrTex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separate"/>
      </w:r>
    </w:p>
    <w:p w:rsidR="00064A1A" w:rsidRPr="00064A1A" w:rsidRDefault="00064A1A" w:rsidP="00064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0"/>
          <w:sz w:val="24"/>
          <w:szCs w:val="24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>kliknite pre zobrazenie</w:t>
      </w:r>
    </w:p>
    <w:p w:rsidR="00064A1A" w:rsidRPr="00064A1A" w:rsidRDefault="00064A1A" w:rsidP="00064A1A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4"/>
          <w:szCs w:val="24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br/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u w:val="single"/>
          <w:lang w:eastAsia="sk-SK"/>
        </w:rPr>
        <w:t xml:space="preserve">Dokumentácia zdravotníckeho zabezpečenia evakuácie </w:t>
      </w: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end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9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begin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instrText xml:space="preserve"> HYPERLINK "http://jaspi.justice.gov.sk/jaspidd/vzory/012328Pr9.pdf" \t "_blank" </w:instrTex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separate"/>
      </w:r>
    </w:p>
    <w:p w:rsidR="00064A1A" w:rsidRPr="00064A1A" w:rsidRDefault="00064A1A" w:rsidP="00064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0"/>
          <w:sz w:val="24"/>
          <w:szCs w:val="24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>kliknite pre zobrazenie</w:t>
      </w:r>
    </w:p>
    <w:p w:rsidR="00064A1A" w:rsidRPr="00064A1A" w:rsidRDefault="00064A1A" w:rsidP="00064A1A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4"/>
          <w:szCs w:val="24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br/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u w:val="single"/>
          <w:lang w:eastAsia="sk-SK"/>
        </w:rPr>
        <w:t>Dokumentácia zásobovacieho zabezpečenia evakuácie</w:t>
      </w: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u w:val="single"/>
          <w:lang w:eastAsia="sk-SK"/>
        </w:rPr>
        <w:br/>
      </w: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end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10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begin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instrText xml:space="preserve"> HYPERLINK "http://jaspi.justice.gov.sk/jaspidd/vzory/012328Pr10.pdf" \t "_blank" </w:instrTex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separate"/>
      </w:r>
    </w:p>
    <w:p w:rsidR="00064A1A" w:rsidRPr="00064A1A" w:rsidRDefault="00064A1A" w:rsidP="00064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0"/>
          <w:sz w:val="24"/>
          <w:szCs w:val="24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t>kliknite pre zobrazenie</w:t>
      </w:r>
    </w:p>
    <w:p w:rsidR="00064A1A" w:rsidRPr="00064A1A" w:rsidRDefault="00064A1A" w:rsidP="00064A1A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4"/>
          <w:szCs w:val="24"/>
          <w:u w:val="single"/>
          <w:lang w:eastAsia="sk-SK"/>
        </w:rPr>
      </w:pPr>
      <w:r w:rsidRPr="00064A1A">
        <w:rPr>
          <w:rFonts w:ascii="ms sans serif" w:eastAsia="Times New Roman" w:hAnsi="ms sans serif" w:cs="Times New Roman"/>
          <w:color w:val="000060"/>
          <w:sz w:val="20"/>
          <w:szCs w:val="20"/>
          <w:u w:val="single"/>
          <w:lang w:eastAsia="sk-SK"/>
        </w:rPr>
        <w:br/>
      </w:r>
    </w:p>
    <w:p w:rsidR="00064A1A" w:rsidRPr="00064A1A" w:rsidRDefault="00064A1A" w:rsidP="00064A1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03030"/>
          <w:sz w:val="20"/>
          <w:szCs w:val="20"/>
          <w:lang w:eastAsia="sk-SK"/>
        </w:rPr>
      </w:pPr>
      <w:r w:rsidRPr="00064A1A">
        <w:rPr>
          <w:rFonts w:ascii="Arial" w:eastAsia="Times New Roman" w:hAnsi="Arial" w:cs="Arial"/>
          <w:b/>
          <w:bCs/>
          <w:color w:val="303030"/>
          <w:sz w:val="20"/>
          <w:szCs w:val="20"/>
          <w:u w:val="single"/>
          <w:lang w:eastAsia="sk-SK"/>
        </w:rPr>
        <w:t>Dokumentácia veterinárneho zabezpečenia evakuácie</w:t>
      </w: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fldChar w:fldCharType="end"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</w:p>
    <w:p w:rsidR="00064A1A" w:rsidRPr="00064A1A" w:rsidRDefault="00064A1A" w:rsidP="00064A1A">
      <w:pPr>
        <w:spacing w:after="240" w:line="240" w:lineRule="auto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lastRenderedPageBreak/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Príloha č. 11</w:t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k vyhláške č. 328/2012 Z. z.</w:t>
      </w:r>
    </w:p>
    <w:p w:rsidR="00064A1A" w:rsidRPr="00064A1A" w:rsidRDefault="00064A1A" w:rsidP="00064A1A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Obsah plánu evakuácie</w:t>
      </w:r>
    </w:p>
    <w:p w:rsidR="00064A1A" w:rsidRPr="00064A1A" w:rsidRDefault="00064A1A" w:rsidP="00064A1A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</w:pP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br/>
        <w:t>ČASŤ A. Obvodný úrad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[§ 13 ods. 1 písm. h) a § 14 ods. 1 písm. i) zákona]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Textová časť zámeru zabezpečenia evakuácie obsahuje najmä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hlavnú úlohu evakuácie, spôsob zabezpečenia evakuácie podľa druhu ohrozenia, určenie evakuačnej trasy, druhu prepravy, umiestnenie evakuačných zariadení, prehľad evakuovaných obcí a počet evakuantov, zvierat a vecí,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prehľad síl a prostriedkov na zabezpečenie evakuácie,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zloženie evakuačnej komisie a doklad o prevzatí menovacích dekrétov členov evakuačnej komisie,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spôsob vyrozumenia a zvolania členov evakuačnej komisie,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dokumentáciu o príprave evakuačnej komisie,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6. dokumentáciu podľa príloh č. 5 až 10,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7. pomocnú dokumentáciu.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Grafická časť zámeru zabezpečenia evakuácie obsahuje najmä druh ohrozenia, vyznačenie evakuačných trás, evakuačných zariadení a evakuovaných obcí, ako aj počet evakuantov.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>ČASŤ B. Obec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 xml:space="preserve"> [§ 15 ods. 1 písm. g) zákona]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Textová časť zámeru zabezpečenia evakuácie obsahuje najmä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hlavnú úlohu evakuácie, spôsob zabezpečenia evakuácie podľa druhu ohrozenia, určenie evakuačnej trasy, druhu prepravy, umiestnenie evakuačných zariadení a počet evakuantov, zvierat a vecí,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prehľad síl a prostriedkov na zabezpečenie evakuácie,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zloženie evakuačnej komisie a doklad o prevzatí menovacích dekrétov členov evakuačnej komisie,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spôsob vyrozumenia a zvolania členov evakuačnej komisie vrátane kontaktných údajov,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dokumentáciu o príprave evakuačnej komisie,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6. dokumentáciu podľa príloh č. 5 až 10,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7. pomocnú dokumentáciu.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Grafická časť zámeru zabezpečenia evakuácie obsahuje najmä druh ohrozenia, vyznačenie evakuačných trás, evakuačných zariadení a počet evakuantov.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  <w:lang w:eastAsia="sk-SK"/>
        </w:rPr>
        <w:t xml:space="preserve">ČASŤ C. Právnická osoba a fyzická osoba - podnikateľ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t>[§ 16 ods. 1 písm. i) a odsek 2 zákona]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a) Textová časť zámeru zabezpečenia evakuácie obsahuje najmä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1. cieľ evakuácie a spôsob jej riadenia a zabezpečenia,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2. spôsob vyrozumenia zamestnancov a osôb prevzatých do starostlivosti,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3. personálne, materiálne a technické zabezpečenie evakuácie,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4. počet evakuantov, zvierat a vecí,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 xml:space="preserve">5. záznamy správ a hlásení obci, 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6. pomocnú dokumentáciu.</w:t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 w:rsidRPr="00064A1A"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  <w:t>b) Grafická časť zámeru zabezpečenia evakuácie obsahuje najmä vyznačenie evakuačnej trasy a evakuačného zariadenia.</w:t>
      </w:r>
    </w:p>
    <w:p w:rsidR="00A25E77" w:rsidRDefault="00A25E77"/>
    <w:sectPr w:rsidR="00A2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33"/>
    <w:rsid w:val="00064A1A"/>
    <w:rsid w:val="00085333"/>
    <w:rsid w:val="00A25E77"/>
    <w:rsid w:val="00A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64A1A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64A1A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64A1A"/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64A1A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64A1A"/>
    <w:rPr>
      <w:color w:val="000060"/>
      <w:u w:val="single"/>
    </w:rPr>
  </w:style>
  <w:style w:type="paragraph" w:customStyle="1" w:styleId="titulok">
    <w:name w:val="titulok"/>
    <w:basedOn w:val="Normlny"/>
    <w:rsid w:val="00064A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poznamka">
    <w:name w:val="poznamka"/>
    <w:basedOn w:val="Normlny"/>
    <w:rsid w:val="00064A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64A1A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64A1A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64A1A"/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64A1A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64A1A"/>
    <w:rPr>
      <w:color w:val="000060"/>
      <w:u w:val="single"/>
    </w:rPr>
  </w:style>
  <w:style w:type="paragraph" w:customStyle="1" w:styleId="titulok">
    <w:name w:val="titulok"/>
    <w:basedOn w:val="Normlny"/>
    <w:rsid w:val="00064A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poznamka">
    <w:name w:val="poznamka"/>
    <w:basedOn w:val="Normlny"/>
    <w:rsid w:val="00064A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w_http_browser_jscript('?MOD=html&amp;FIR=demo&amp;JEL=n&amp;AGE=zak&amp;TNU=n&amp;IDC=194%2F2002%20Z.z.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new_http_browser_jscript('?MOD=html&amp;FIR=demo&amp;JEL=n&amp;AGE=zak&amp;TNU=n&amp;IDC=269%2F1998%20Z.z.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new_http_browser_jscript('?MOD=html&amp;FIR=demo&amp;JEL=n&amp;AGE=zak&amp;TNU=n&amp;IDC=75%2F1995%20Z.z.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new_http_browser_jscript('?MOD=html&amp;FIR=demo&amp;JEL=n&amp;AGE=zak&amp;TNU=n&amp;IDC=42%2F1994%20Z.z.')" TargetMode="External"/><Relationship Id="rId10" Type="http://schemas.openxmlformats.org/officeDocument/2006/relationships/hyperlink" Target="JavaScript:new_http_browser_jscript('?MOD=html&amp;FIR=demo&amp;JEL=n&amp;AGE=zak&amp;TNU=n&amp;IDC=439%2F2007%20Z.z.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new_http_browser_jscript('?MOD=html&amp;FIR=demo&amp;JEL=n&amp;AGE=zak&amp;TNU=n&amp;IDC=598%2F2004%20Z.z.'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agg_l</dc:creator>
  <cp:keywords/>
  <dc:description/>
  <cp:lastModifiedBy>agg_l</cp:lastModifiedBy>
  <cp:revision>3</cp:revision>
  <cp:lastPrinted>2012-11-06T12:42:00Z</cp:lastPrinted>
  <dcterms:created xsi:type="dcterms:W3CDTF">2012-11-06T12:36:00Z</dcterms:created>
  <dcterms:modified xsi:type="dcterms:W3CDTF">2012-11-06T13:23:00Z</dcterms:modified>
</cp:coreProperties>
</file>